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Student Application Documents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>- Transcript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 xml:space="preserve">- Student Online Application </w:t>
      </w:r>
      <w:proofErr w:type="gramStart"/>
      <w:r w:rsidRPr="004615D1">
        <w:rPr>
          <w:rFonts w:ascii="Calibri" w:eastAsia="Times New Roman" w:hAnsi="Calibri" w:cs="Calibri"/>
          <w:color w:val="000000"/>
        </w:rPr>
        <w:t>Form :</w:t>
      </w:r>
      <w:proofErr w:type="gramEnd"/>
      <w:r w:rsidRPr="004615D1">
        <w:rPr>
          <w:rFonts w:ascii="Calibri" w:eastAsia="Times New Roman" w:hAnsi="Calibri" w:cs="Calibri"/>
          <w:color w:val="000000"/>
        </w:rPr>
        <w:t>  </w:t>
      </w:r>
      <w:hyperlink r:id="rId4" w:tgtFrame="_blank" w:history="1">
        <w:r w:rsidRPr="004615D1">
          <w:rPr>
            <w:rFonts w:ascii="Calibri" w:eastAsia="Times New Roman" w:hAnsi="Calibri" w:cs="Calibri"/>
            <w:color w:val="005A95"/>
          </w:rPr>
          <w:t>http://portal.kafkas.edu.tr/mevlana/gelenOgrenci.aspx</w:t>
        </w:r>
      </w:hyperlink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spellStart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>Mevlana</w:t>
      </w:r>
      <w:proofErr w:type="spellEnd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 xml:space="preserve"> Exchange </w:t>
      </w:r>
      <w:proofErr w:type="spellStart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>Programme</w:t>
      </w:r>
      <w:proofErr w:type="spellEnd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 xml:space="preserve"> Student Application Requirements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b/>
          <w:bCs/>
          <w:color w:val="000000"/>
        </w:rPr>
        <w:t>General Requirements: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>-Must be eligible to study at the associate degree, bachelor’s degree, master’s degree or PhD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gramStart"/>
      <w:r w:rsidRPr="004615D1">
        <w:rPr>
          <w:rFonts w:ascii="Calibri" w:eastAsia="Times New Roman" w:hAnsi="Calibri" w:cs="Calibri"/>
          <w:color w:val="000000"/>
        </w:rPr>
        <w:t>degree</w:t>
      </w:r>
      <w:proofErr w:type="gramEnd"/>
      <w:r w:rsidRPr="004615D1">
        <w:rPr>
          <w:rFonts w:ascii="Calibri" w:eastAsia="Times New Roman" w:hAnsi="Calibri" w:cs="Calibri"/>
          <w:color w:val="000000"/>
        </w:rPr>
        <w:t xml:space="preserve"> level in higher education </w:t>
      </w:r>
      <w:proofErr w:type="spellStart"/>
      <w:r w:rsidRPr="004615D1">
        <w:rPr>
          <w:rFonts w:ascii="Calibri" w:eastAsia="Times New Roman" w:hAnsi="Calibri" w:cs="Calibri"/>
          <w:color w:val="000000"/>
        </w:rPr>
        <w:t>programmes</w:t>
      </w:r>
      <w:proofErr w:type="spellEnd"/>
      <w:r w:rsidRPr="004615D1">
        <w:rPr>
          <w:rFonts w:ascii="Calibri" w:eastAsia="Times New Roman" w:hAnsi="Calibri" w:cs="Calibri"/>
          <w:color w:val="000000"/>
        </w:rPr>
        <w:t>,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>-The grade point average (GPA) of associate degree and undergraduate students must be at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gramStart"/>
      <w:r w:rsidRPr="004615D1">
        <w:rPr>
          <w:rFonts w:ascii="Calibri" w:eastAsia="Times New Roman" w:hAnsi="Calibri" w:cs="Calibri"/>
          <w:color w:val="000000"/>
        </w:rPr>
        <w:t>least</w:t>
      </w:r>
      <w:proofErr w:type="gramEnd"/>
      <w:r w:rsidRPr="004615D1">
        <w:rPr>
          <w:rFonts w:ascii="Calibri" w:eastAsia="Times New Roman" w:hAnsi="Calibri" w:cs="Calibri"/>
          <w:color w:val="000000"/>
        </w:rPr>
        <w:t xml:space="preserve"> 2.5/4.00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>-The grade point average (GPA) of graduate students (MA, PhD) must be at least 3.00/4.00.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b/>
          <w:bCs/>
          <w:color w:val="000000"/>
        </w:rPr>
        <w:t>Special Requirements: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 xml:space="preserve">-Students attending preparation classes or scientific preparation </w:t>
      </w:r>
      <w:proofErr w:type="spellStart"/>
      <w:r w:rsidRPr="004615D1">
        <w:rPr>
          <w:rFonts w:ascii="Calibri" w:eastAsia="Times New Roman" w:hAnsi="Calibri" w:cs="Calibri"/>
          <w:color w:val="000000"/>
        </w:rPr>
        <w:t>programmes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at graduate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gramStart"/>
      <w:r w:rsidRPr="004615D1">
        <w:rPr>
          <w:rFonts w:ascii="Calibri" w:eastAsia="Times New Roman" w:hAnsi="Calibri" w:cs="Calibri"/>
          <w:color w:val="000000"/>
        </w:rPr>
        <w:t>degree</w:t>
      </w:r>
      <w:proofErr w:type="gramEnd"/>
      <w:r w:rsidRPr="004615D1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4615D1">
        <w:rPr>
          <w:rFonts w:ascii="Calibri" w:eastAsia="Times New Roman" w:hAnsi="Calibri" w:cs="Calibri"/>
          <w:color w:val="000000"/>
        </w:rPr>
        <w:t>levelare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not eligible to participate in this </w:t>
      </w:r>
      <w:proofErr w:type="spellStart"/>
      <w:r w:rsidRPr="004615D1">
        <w:rPr>
          <w:rFonts w:ascii="Calibri" w:eastAsia="Times New Roman" w:hAnsi="Calibri" w:cs="Calibri"/>
          <w:color w:val="000000"/>
        </w:rPr>
        <w:t>programme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during their first semester.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spellStart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>Mevlana</w:t>
      </w:r>
      <w:proofErr w:type="spellEnd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 xml:space="preserve"> Exchange </w:t>
      </w:r>
      <w:proofErr w:type="spellStart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>Programme</w:t>
      </w:r>
      <w:proofErr w:type="spellEnd"/>
      <w:r w:rsidRPr="004615D1">
        <w:rPr>
          <w:rFonts w:ascii="Calibri" w:eastAsia="Times New Roman" w:hAnsi="Calibri" w:cs="Calibri"/>
          <w:b/>
          <w:bCs/>
          <w:color w:val="000000"/>
          <w:u w:val="single"/>
        </w:rPr>
        <w:t xml:space="preserve"> Scholarships for Incoming Students: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proofErr w:type="spellStart"/>
      <w:r w:rsidRPr="004615D1">
        <w:rPr>
          <w:rFonts w:ascii="Calibri" w:eastAsia="Times New Roman" w:hAnsi="Calibri" w:cs="Calibri"/>
          <w:color w:val="000000"/>
        </w:rPr>
        <w:t>Mevlana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Exchange </w:t>
      </w:r>
      <w:proofErr w:type="spellStart"/>
      <w:r w:rsidRPr="004615D1">
        <w:rPr>
          <w:rFonts w:ascii="Calibri" w:eastAsia="Times New Roman" w:hAnsi="Calibri" w:cs="Calibri"/>
          <w:color w:val="000000"/>
        </w:rPr>
        <w:t>Programme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students will continue to receive any scholarships or grants from their home countries, and they </w:t>
      </w:r>
      <w:proofErr w:type="spellStart"/>
      <w:r w:rsidRPr="004615D1">
        <w:rPr>
          <w:rFonts w:ascii="Calibri" w:eastAsia="Times New Roman" w:hAnsi="Calibri" w:cs="Calibri"/>
          <w:color w:val="000000"/>
        </w:rPr>
        <w:t>arerequired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to register with their home institutions.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 xml:space="preserve">Incoming students to </w:t>
      </w:r>
      <w:proofErr w:type="spellStart"/>
      <w:r w:rsidRPr="004615D1">
        <w:rPr>
          <w:rFonts w:ascii="Calibri" w:eastAsia="Times New Roman" w:hAnsi="Calibri" w:cs="Calibri"/>
          <w:color w:val="000000"/>
        </w:rPr>
        <w:t>Kafkas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University from other countries will receive a grant of 1000 TL monthly. One semester will be counted as 4 months.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 xml:space="preserve">80% of the total amount of the scholarship will be paid to the </w:t>
      </w:r>
      <w:proofErr w:type="spellStart"/>
      <w:r w:rsidRPr="004615D1">
        <w:rPr>
          <w:rFonts w:ascii="Calibri" w:eastAsia="Times New Roman" w:hAnsi="Calibri" w:cs="Calibri"/>
          <w:color w:val="000000"/>
        </w:rPr>
        <w:t>studentat</w:t>
      </w:r>
      <w:proofErr w:type="spellEnd"/>
      <w:r w:rsidRPr="004615D1">
        <w:rPr>
          <w:rFonts w:ascii="Calibri" w:eastAsia="Times New Roman" w:hAnsi="Calibri" w:cs="Calibri"/>
          <w:color w:val="000000"/>
        </w:rPr>
        <w:t xml:space="preserve"> the beginning of his/her study. The ratio of total credits from courses successfully completed by the </w:t>
      </w:r>
      <w:proofErr w:type="spellStart"/>
      <w:r w:rsidRPr="004615D1">
        <w:rPr>
          <w:rFonts w:ascii="Calibri" w:eastAsia="Times New Roman" w:hAnsi="Calibri" w:cs="Calibri"/>
          <w:color w:val="000000"/>
        </w:rPr>
        <w:t>student</w:t>
      </w:r>
      <w:proofErr w:type="gramStart"/>
      <w:r w:rsidRPr="004615D1">
        <w:rPr>
          <w:rFonts w:ascii="Calibri" w:eastAsia="Times New Roman" w:hAnsi="Calibri" w:cs="Calibri"/>
          <w:color w:val="000000"/>
        </w:rPr>
        <w:t>,compared</w:t>
      </w:r>
      <w:proofErr w:type="spellEnd"/>
      <w:proofErr w:type="gramEnd"/>
      <w:r w:rsidRPr="004615D1">
        <w:rPr>
          <w:rFonts w:ascii="Calibri" w:eastAsia="Times New Roman" w:hAnsi="Calibri" w:cs="Calibri"/>
          <w:color w:val="000000"/>
        </w:rPr>
        <w:t xml:space="preserve"> to the number of obligatory courses taken by the student will be used to calculate the rest of the student's grant payment.</w:t>
      </w: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</w:p>
    <w:p w:rsidR="004615D1" w:rsidRPr="004615D1" w:rsidRDefault="004615D1" w:rsidP="004615D1">
      <w:pPr>
        <w:shd w:val="clear" w:color="auto" w:fill="FFFFFF"/>
        <w:spacing w:after="0" w:line="289" w:lineRule="atLeast"/>
        <w:rPr>
          <w:rFonts w:ascii="Calibri" w:eastAsia="Times New Roman" w:hAnsi="Calibri" w:cs="Calibri"/>
          <w:color w:val="000000"/>
        </w:rPr>
      </w:pPr>
      <w:r w:rsidRPr="004615D1">
        <w:rPr>
          <w:rFonts w:ascii="Calibri" w:eastAsia="Times New Roman" w:hAnsi="Calibri" w:cs="Calibri"/>
          <w:color w:val="000000"/>
        </w:rPr>
        <w:t> </w:t>
      </w:r>
      <w:r w:rsidRPr="004615D1">
        <w:rPr>
          <w:rFonts w:ascii="Calibri" w:eastAsia="Times New Roman" w:hAnsi="Calibri" w:cs="Calibri"/>
          <w:b/>
          <w:bCs/>
          <w:color w:val="000000"/>
          <w:sz w:val="28"/>
        </w:rPr>
        <w:t>Academic Staff Application Documents</w:t>
      </w:r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615D1">
        <w:rPr>
          <w:rFonts w:ascii="Calibri" w:eastAsia="Times New Roman" w:hAnsi="Calibri" w:cs="Calibri"/>
          <w:color w:val="000000"/>
          <w:sz w:val="25"/>
        </w:rPr>
        <w:t> </w:t>
      </w:r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615D1">
        <w:rPr>
          <w:rFonts w:ascii="Calibri" w:eastAsia="Times New Roman" w:hAnsi="Calibri" w:cs="Calibri"/>
          <w:color w:val="000000"/>
          <w:sz w:val="25"/>
        </w:rPr>
        <w:t>- Academic Staff Online Application Form:  </w:t>
      </w:r>
      <w:hyperlink r:id="rId5" w:tgtFrame="_blank" w:history="1">
        <w:r w:rsidRPr="004615D1">
          <w:rPr>
            <w:rFonts w:ascii="Calibri" w:eastAsia="Times New Roman" w:hAnsi="Calibri" w:cs="Calibri"/>
            <w:color w:val="005A95"/>
            <w:sz w:val="25"/>
          </w:rPr>
          <w:t>http://portal.kafkas.edu.tr/mevlana/gelenPersonel.aspx</w:t>
        </w:r>
      </w:hyperlink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615D1">
        <w:rPr>
          <w:rFonts w:ascii="Calibri" w:eastAsia="Times New Roman" w:hAnsi="Calibri" w:cs="Calibri"/>
          <w:color w:val="000000"/>
          <w:sz w:val="25"/>
          <w:szCs w:val="25"/>
          <w:shd w:val="clear" w:color="auto" w:fill="FFFFFF"/>
        </w:rPr>
        <w:t>- CV</w:t>
      </w:r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615D1">
        <w:rPr>
          <w:rFonts w:ascii="Calibri" w:eastAsia="Times New Roman" w:hAnsi="Calibri" w:cs="Calibri"/>
          <w:color w:val="000000"/>
          <w:sz w:val="25"/>
          <w:szCs w:val="25"/>
          <w:shd w:val="clear" w:color="auto" w:fill="FFFFFF"/>
        </w:rPr>
        <w:t>- P</w:t>
      </w:r>
      <w:r w:rsidRPr="004615D1">
        <w:rPr>
          <w:rFonts w:ascii="Arial" w:eastAsia="Times New Roman" w:hAnsi="Arial" w:cs="Arial"/>
          <w:color w:val="212121"/>
          <w:shd w:val="clear" w:color="auto" w:fill="FFFFFF"/>
        </w:rPr>
        <w:t xml:space="preserve">ortfolio </w:t>
      </w:r>
      <w:proofErr w:type="gramStart"/>
      <w:r w:rsidRPr="004615D1">
        <w:rPr>
          <w:rFonts w:ascii="Arial" w:eastAsia="Times New Roman" w:hAnsi="Arial" w:cs="Arial"/>
          <w:color w:val="212121"/>
          <w:shd w:val="clear" w:color="auto" w:fill="FFFFFF"/>
        </w:rPr>
        <w:t>( including</w:t>
      </w:r>
      <w:proofErr w:type="gramEnd"/>
      <w:r w:rsidRPr="004615D1">
        <w:rPr>
          <w:rFonts w:ascii="Arial" w:eastAsia="Times New Roman" w:hAnsi="Arial" w:cs="Arial"/>
          <w:color w:val="212121"/>
          <w:shd w:val="clear" w:color="auto" w:fill="FFFFFF"/>
        </w:rPr>
        <w:t xml:space="preserve"> academic studies)</w:t>
      </w:r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615D1">
        <w:rPr>
          <w:rFonts w:ascii="Arial" w:eastAsia="Times New Roman" w:hAnsi="Arial" w:cs="Arial"/>
          <w:color w:val="000000"/>
        </w:rPr>
        <w:t xml:space="preserve">Click Here for Academic Staff </w:t>
      </w:r>
      <w:proofErr w:type="gramStart"/>
      <w:r w:rsidRPr="004615D1">
        <w:rPr>
          <w:rFonts w:ascii="Arial" w:eastAsia="Times New Roman" w:hAnsi="Arial" w:cs="Arial"/>
          <w:color w:val="000000"/>
        </w:rPr>
        <w:t>Payments :</w:t>
      </w:r>
      <w:proofErr w:type="gramEnd"/>
      <w:r w:rsidRPr="004615D1">
        <w:rPr>
          <w:rFonts w:ascii="Arial" w:eastAsia="Times New Roman" w:hAnsi="Arial" w:cs="Arial"/>
          <w:color w:val="000000"/>
        </w:rPr>
        <w:t> </w:t>
      </w:r>
    </w:p>
    <w:p w:rsidR="004615D1" w:rsidRPr="004615D1" w:rsidRDefault="002D20BC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hyperlink r:id="rId6" w:tgtFrame="_blank" w:history="1">
        <w:r w:rsidR="004615D1" w:rsidRPr="004615D1">
          <w:rPr>
            <w:rFonts w:ascii="Arial" w:eastAsia="Times New Roman" w:hAnsi="Arial" w:cs="Arial"/>
            <w:color w:val="005A95"/>
            <w:sz w:val="23"/>
          </w:rPr>
          <w:t>http://www.yok.gov.tr/documents/757816/39302365/24012018_yurutme_karari_kriterler.pdf/52cf418d-ca9e-4c52-90ef-1ade5c732f16</w:t>
        </w:r>
      </w:hyperlink>
    </w:p>
    <w:p w:rsidR="004615D1" w:rsidRPr="004615D1" w:rsidRDefault="004615D1" w:rsidP="0046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615D1" w:rsidRPr="004615D1" w:rsidRDefault="004615D1" w:rsidP="004615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615D1" w:rsidRPr="004615D1" w:rsidRDefault="004615D1" w:rsidP="0046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20B" w:rsidRDefault="0012620B"/>
    <w:sectPr w:rsidR="0012620B" w:rsidSect="002D20BC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615D1"/>
    <w:rsid w:val="0012620B"/>
    <w:rsid w:val="002D20BC"/>
    <w:rsid w:val="004615D1"/>
    <w:rsid w:val="009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2250B-50D5-4E77-A016-E0211D6B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5D1"/>
    <w:rPr>
      <w:b/>
      <w:bCs/>
    </w:rPr>
  </w:style>
  <w:style w:type="character" w:customStyle="1" w:styleId="m2311105196450654174m-8816274421375356062object">
    <w:name w:val="m_2311105196450654174m_-8816274421375356062object"/>
    <w:basedOn w:val="a0"/>
    <w:rsid w:val="004615D1"/>
  </w:style>
  <w:style w:type="character" w:styleId="a4">
    <w:name w:val="Hyperlink"/>
    <w:basedOn w:val="a0"/>
    <w:uiPriority w:val="99"/>
    <w:semiHidden/>
    <w:unhideWhenUsed/>
    <w:rsid w:val="0046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2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2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k.gov.tr/documents/757816/39302365/24012018_yurutme_karari_kriterler.pdf/52cf418d-ca9e-4c52-90ef-1ade5c732f16" TargetMode="External"/><Relationship Id="rId5" Type="http://schemas.openxmlformats.org/officeDocument/2006/relationships/hyperlink" Target="http://portal.kafkas.edu.tr/mevlana/gelenPersonel.aspx" TargetMode="External"/><Relationship Id="rId4" Type="http://schemas.openxmlformats.org/officeDocument/2006/relationships/hyperlink" Target="http://portal.kafkas.edu.tr/mevlana/gelenOgrenci.aspx" TargetMode="Externa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2018-02-19T06:54:00Z</dcterms:created>
  <dcterms:modified xsi:type="dcterms:W3CDTF">2018-02-19T08:29:00Z</dcterms:modified>
</cp:coreProperties>
</file>