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01DA" w:rsidRPr="002A01DA" w:rsidRDefault="0055769E" w:rsidP="00B468BA">
      <w:pPr>
        <w:rPr>
          <w:b/>
        </w:rPr>
      </w:pPr>
      <w:r>
        <w:rPr>
          <w:b/>
        </w:rPr>
        <w:t xml:space="preserve">CALL FOR </w:t>
      </w:r>
      <w:r w:rsidR="00B468BA" w:rsidRPr="002A01DA">
        <w:rPr>
          <w:b/>
        </w:rPr>
        <w:t>MEVLANA EXCHANGE PROGRAMME INCOMING STUDENT</w:t>
      </w:r>
      <w:r w:rsidR="002A01DA" w:rsidRPr="002A01DA">
        <w:rPr>
          <w:b/>
        </w:rPr>
        <w:t xml:space="preserve"> APPLICATIONS FOR THE 2018/2019</w:t>
      </w:r>
      <w:r>
        <w:rPr>
          <w:b/>
        </w:rPr>
        <w:t xml:space="preserve"> </w:t>
      </w:r>
      <w:r w:rsidRPr="002A01DA">
        <w:rPr>
          <w:b/>
        </w:rPr>
        <w:t>ACADEMIC YEAR</w:t>
      </w:r>
    </w:p>
    <w:p w:rsidR="002A01DA" w:rsidRDefault="002A01DA" w:rsidP="00B468BA"/>
    <w:tbl>
      <w:tblPr>
        <w:tblStyle w:val="a3"/>
        <w:tblW w:w="0" w:type="auto"/>
        <w:tblLook w:val="04A0" w:firstRow="1" w:lastRow="0" w:firstColumn="1" w:lastColumn="0" w:noHBand="0" w:noVBand="1"/>
      </w:tblPr>
      <w:tblGrid>
        <w:gridCol w:w="4531"/>
        <w:gridCol w:w="4531"/>
      </w:tblGrid>
      <w:tr w:rsidR="005862C8" w:rsidTr="005862C8">
        <w:tc>
          <w:tcPr>
            <w:tcW w:w="4531" w:type="dxa"/>
          </w:tcPr>
          <w:p w:rsidR="005862C8" w:rsidRPr="002A01DA" w:rsidRDefault="005862C8" w:rsidP="00B468BA">
            <w:pPr>
              <w:rPr>
                <w:b/>
              </w:rPr>
            </w:pPr>
            <w:r w:rsidRPr="002A01DA">
              <w:rPr>
                <w:b/>
              </w:rPr>
              <w:t>Dates</w:t>
            </w:r>
          </w:p>
        </w:tc>
        <w:tc>
          <w:tcPr>
            <w:tcW w:w="4531" w:type="dxa"/>
          </w:tcPr>
          <w:p w:rsidR="005862C8" w:rsidRDefault="005862C8" w:rsidP="00B468BA"/>
        </w:tc>
      </w:tr>
      <w:tr w:rsidR="005862C8" w:rsidTr="005862C8">
        <w:tc>
          <w:tcPr>
            <w:tcW w:w="4531" w:type="dxa"/>
          </w:tcPr>
          <w:p w:rsidR="005862C8" w:rsidRPr="002A01DA" w:rsidRDefault="005862C8" w:rsidP="005862C8">
            <w:pPr>
              <w:rPr>
                <w:b/>
              </w:rPr>
            </w:pPr>
            <w:r w:rsidRPr="002A01DA">
              <w:rPr>
                <w:b/>
              </w:rPr>
              <w:t>Application Dates</w:t>
            </w:r>
          </w:p>
        </w:tc>
        <w:tc>
          <w:tcPr>
            <w:tcW w:w="4531" w:type="dxa"/>
          </w:tcPr>
          <w:p w:rsidR="005862C8" w:rsidRDefault="005862C8" w:rsidP="005862C8">
            <w:r>
              <w:t>5th – 26th February 2018</w:t>
            </w:r>
          </w:p>
        </w:tc>
      </w:tr>
      <w:tr w:rsidR="002A01DA" w:rsidTr="005862C8">
        <w:tc>
          <w:tcPr>
            <w:tcW w:w="4531" w:type="dxa"/>
          </w:tcPr>
          <w:p w:rsidR="002A01DA" w:rsidRPr="002A01DA" w:rsidRDefault="002A01DA" w:rsidP="002A01DA">
            <w:pPr>
              <w:rPr>
                <w:b/>
              </w:rPr>
            </w:pPr>
            <w:r w:rsidRPr="002A01DA">
              <w:rPr>
                <w:b/>
              </w:rPr>
              <w:t>Announcement of Results</w:t>
            </w:r>
          </w:p>
        </w:tc>
        <w:tc>
          <w:tcPr>
            <w:tcW w:w="4531" w:type="dxa"/>
          </w:tcPr>
          <w:p w:rsidR="002A01DA" w:rsidRDefault="002A01DA" w:rsidP="002A01DA">
            <w:r>
              <w:t>May 2018</w:t>
            </w:r>
          </w:p>
        </w:tc>
      </w:tr>
    </w:tbl>
    <w:p w:rsidR="005862C8" w:rsidRDefault="005862C8" w:rsidP="00B468BA"/>
    <w:p w:rsidR="00B468BA" w:rsidRDefault="00B468BA" w:rsidP="00B468BA"/>
    <w:p w:rsidR="005862C8" w:rsidRPr="002A01DA" w:rsidRDefault="005862C8" w:rsidP="00B468BA">
      <w:pPr>
        <w:rPr>
          <w:b/>
        </w:rPr>
      </w:pPr>
      <w:r w:rsidRPr="002A01DA">
        <w:rPr>
          <w:b/>
        </w:rPr>
        <w:t>Student Application Documents</w:t>
      </w:r>
      <w:r w:rsidR="007A69EF">
        <w:rPr>
          <w:b/>
        </w:rPr>
        <w:t>:</w:t>
      </w:r>
    </w:p>
    <w:p w:rsidR="00732FB5" w:rsidRDefault="005862C8" w:rsidP="00B468BA">
      <w:r>
        <w:t xml:space="preserve">Applications should be done by the link of Office of International Affairs of Atatürk University </w:t>
      </w:r>
    </w:p>
    <w:p w:rsidR="00732FB5" w:rsidRPr="00732FB5" w:rsidRDefault="00732FB5" w:rsidP="00B468BA">
      <w:pPr>
        <w:rPr>
          <w:color w:val="0070C0"/>
          <w:u w:val="single"/>
        </w:rPr>
      </w:pPr>
      <w:r w:rsidRPr="00732FB5">
        <w:rPr>
          <w:color w:val="0070C0"/>
          <w:u w:val="single"/>
        </w:rPr>
        <w:t>oia.atauni.edu.tr/application/student</w:t>
      </w:r>
    </w:p>
    <w:p w:rsidR="00B468BA" w:rsidRPr="002A01DA" w:rsidRDefault="00B468BA" w:rsidP="00B468BA">
      <w:pPr>
        <w:rPr>
          <w:b/>
        </w:rPr>
      </w:pPr>
    </w:p>
    <w:p w:rsidR="002A01DA" w:rsidRPr="002A01DA" w:rsidRDefault="00B468BA" w:rsidP="00B468BA">
      <w:pPr>
        <w:rPr>
          <w:b/>
        </w:rPr>
      </w:pPr>
      <w:r w:rsidRPr="002A01DA">
        <w:rPr>
          <w:b/>
        </w:rPr>
        <w:t xml:space="preserve">Mevlana Exchange Programme Student Application Requirements General Requirements: </w:t>
      </w:r>
    </w:p>
    <w:p w:rsidR="002A01DA" w:rsidRDefault="00B468BA" w:rsidP="00B468BA">
      <w:r>
        <w:t xml:space="preserve">Must be eligible to study at the associate degree, bachelor’s degree, master’s degree or PhD degree level in higher education programmes, The grade point average (GPA) of associate degree and undergraduate students must be at least 2.5/4.00 The grade point average (GPA) of graduate students (MA, PhD) must be at least 3.00/4.00. </w:t>
      </w:r>
    </w:p>
    <w:p w:rsidR="002A01DA" w:rsidRDefault="002A01DA" w:rsidP="00B468BA"/>
    <w:p w:rsidR="002A01DA" w:rsidRPr="002A01DA" w:rsidRDefault="00B468BA" w:rsidP="00B468BA">
      <w:pPr>
        <w:rPr>
          <w:b/>
        </w:rPr>
      </w:pPr>
      <w:r w:rsidRPr="002A01DA">
        <w:rPr>
          <w:b/>
        </w:rPr>
        <w:t xml:space="preserve">Special Requirements: </w:t>
      </w:r>
    </w:p>
    <w:p w:rsidR="002A01DA" w:rsidRDefault="00B468BA" w:rsidP="00B468BA">
      <w:r>
        <w:t xml:space="preserve">Students attending preparation classes or scientific preparation programmes at graduate degree level are not eligible to participate in this programme during their first semester. </w:t>
      </w:r>
    </w:p>
    <w:p w:rsidR="002A01DA" w:rsidRDefault="002A01DA" w:rsidP="00B468BA"/>
    <w:p w:rsidR="002A01DA" w:rsidRPr="002A01DA" w:rsidRDefault="00B468BA" w:rsidP="00B468BA">
      <w:pPr>
        <w:rPr>
          <w:b/>
        </w:rPr>
      </w:pPr>
      <w:r w:rsidRPr="002A01DA">
        <w:rPr>
          <w:b/>
        </w:rPr>
        <w:t xml:space="preserve">Mevlana Exchange Programme Scholarships for Incoming Students: </w:t>
      </w:r>
    </w:p>
    <w:p w:rsidR="00C94187" w:rsidRDefault="00B468BA" w:rsidP="00B468BA">
      <w:r>
        <w:t>Mevlana Exchange Programme students will continue to receive any scholarships or grants from their home countries, and they are</w:t>
      </w:r>
      <w:r w:rsidR="002A01DA">
        <w:t xml:space="preserve"> </w:t>
      </w:r>
      <w:r>
        <w:t>required to register with their home institutions.</w:t>
      </w:r>
    </w:p>
    <w:p w:rsidR="002A01DA" w:rsidRDefault="00B468BA" w:rsidP="00B468BA">
      <w:r>
        <w:t xml:space="preserve"> Incoming students to Turkish higher education institutions from other cou</w:t>
      </w:r>
      <w:r w:rsidR="002A01DA">
        <w:t>ntries will receive a grant of 1.0</w:t>
      </w:r>
      <w:r>
        <w:t xml:space="preserve">00 TL monthly. One semester will be counted as 4 months. 80% of the total amount of the scholarship will be paid to the student at the beginning of his/her study. The </w:t>
      </w:r>
      <w:r w:rsidR="00C94187">
        <w:t xml:space="preserve">rest %2o will be given if </w:t>
      </w:r>
      <w:r>
        <w:t>courses succes</w:t>
      </w:r>
      <w:r w:rsidR="00C94187">
        <w:t xml:space="preserve">sfully completed by the student. </w:t>
      </w:r>
    </w:p>
    <w:p w:rsidR="002A01DA" w:rsidRDefault="002A01DA" w:rsidP="00B468BA">
      <w:pPr>
        <w:rPr>
          <w:b/>
        </w:rPr>
      </w:pPr>
      <w:r w:rsidRPr="002A01DA">
        <w:rPr>
          <w:b/>
        </w:rPr>
        <w:t xml:space="preserve">Accommodation </w:t>
      </w:r>
      <w:r>
        <w:t xml:space="preserve"> </w:t>
      </w:r>
      <w:r w:rsidRPr="002A01DA">
        <w:rPr>
          <w:b/>
        </w:rPr>
        <w:t>for Incoming Students</w:t>
      </w:r>
      <w:r>
        <w:rPr>
          <w:b/>
        </w:rPr>
        <w:t>:</w:t>
      </w:r>
    </w:p>
    <w:p w:rsidR="002A01DA" w:rsidRDefault="002A01DA" w:rsidP="00B468BA">
      <w:r>
        <w:t xml:space="preserve">There are </w:t>
      </w:r>
      <w:r w:rsidR="00F97D0A">
        <w:t>private</w:t>
      </w:r>
      <w:r>
        <w:t xml:space="preserve"> dormitor</w:t>
      </w:r>
      <w:r w:rsidRPr="002A01DA">
        <w:t>ies</w:t>
      </w:r>
      <w:r>
        <w:t xml:space="preserve"> close to University Campus </w:t>
      </w:r>
    </w:p>
    <w:p w:rsidR="002A01DA" w:rsidRDefault="002A01DA" w:rsidP="00B468BA"/>
    <w:p w:rsidR="002A01DA" w:rsidRDefault="002A01DA" w:rsidP="00B468BA"/>
    <w:p w:rsidR="002A01DA" w:rsidRDefault="002A01DA" w:rsidP="00B468BA">
      <w:r>
        <w:t xml:space="preserve">Note: For futher information please get in touch with Mevlana Office of Atatürk University </w:t>
      </w:r>
    </w:p>
    <w:p w:rsidR="001334F8" w:rsidRDefault="001334F8" w:rsidP="002A01DA">
      <w:hyperlink r:id="rId6" w:history="1">
        <w:r w:rsidR="002A01DA" w:rsidRPr="00FA7946">
          <w:rPr>
            <w:rStyle w:val="a4"/>
          </w:rPr>
          <w:t>mevlana@atauni.edu.tr</w:t>
        </w:r>
      </w:hyperlink>
    </w:p>
    <w:p w:rsidR="00B16287" w:rsidRPr="001334F8" w:rsidRDefault="0055769E" w:rsidP="002A01DA">
      <w:r>
        <w:rPr>
          <w:b/>
        </w:rPr>
        <w:lastRenderedPageBreak/>
        <w:t xml:space="preserve">CALL FOR </w:t>
      </w:r>
      <w:r w:rsidR="002A01DA" w:rsidRPr="002A01DA">
        <w:rPr>
          <w:b/>
        </w:rPr>
        <w:t xml:space="preserve">MEVLANA EXCHANGE PROGRAMME INCOMING </w:t>
      </w:r>
      <w:r w:rsidR="00B16287">
        <w:rPr>
          <w:b/>
        </w:rPr>
        <w:t xml:space="preserve">ACADEMİC </w:t>
      </w:r>
      <w:r w:rsidR="002A01DA" w:rsidRPr="002A01DA">
        <w:rPr>
          <w:b/>
        </w:rPr>
        <w:t>S</w:t>
      </w:r>
      <w:r w:rsidR="00B16287">
        <w:rPr>
          <w:b/>
        </w:rPr>
        <w:t xml:space="preserve">TAFF APPLICATIONS FOR THE </w:t>
      </w:r>
      <w:r>
        <w:rPr>
          <w:b/>
        </w:rPr>
        <w:t xml:space="preserve">2018/2019 </w:t>
      </w:r>
      <w:r w:rsidRPr="002A01DA">
        <w:rPr>
          <w:b/>
        </w:rPr>
        <w:t>ACADEMIC YEAR</w:t>
      </w:r>
    </w:p>
    <w:p w:rsidR="00B16287" w:rsidRDefault="00B16287" w:rsidP="00B16287"/>
    <w:tbl>
      <w:tblPr>
        <w:tblStyle w:val="a3"/>
        <w:tblW w:w="0" w:type="auto"/>
        <w:tblLook w:val="04A0" w:firstRow="1" w:lastRow="0" w:firstColumn="1" w:lastColumn="0" w:noHBand="0" w:noVBand="1"/>
      </w:tblPr>
      <w:tblGrid>
        <w:gridCol w:w="4531"/>
        <w:gridCol w:w="4531"/>
      </w:tblGrid>
      <w:tr w:rsidR="00B16287" w:rsidTr="00DB3197">
        <w:tc>
          <w:tcPr>
            <w:tcW w:w="4531" w:type="dxa"/>
          </w:tcPr>
          <w:p w:rsidR="00B16287" w:rsidRPr="002A01DA" w:rsidRDefault="00B16287" w:rsidP="00DB3197">
            <w:pPr>
              <w:rPr>
                <w:b/>
              </w:rPr>
            </w:pPr>
            <w:r w:rsidRPr="002A01DA">
              <w:rPr>
                <w:b/>
              </w:rPr>
              <w:t>Dates</w:t>
            </w:r>
          </w:p>
        </w:tc>
        <w:tc>
          <w:tcPr>
            <w:tcW w:w="4531" w:type="dxa"/>
          </w:tcPr>
          <w:p w:rsidR="00B16287" w:rsidRDefault="00B16287" w:rsidP="00DB3197"/>
        </w:tc>
      </w:tr>
      <w:tr w:rsidR="00B16287" w:rsidTr="00DB3197">
        <w:tc>
          <w:tcPr>
            <w:tcW w:w="4531" w:type="dxa"/>
          </w:tcPr>
          <w:p w:rsidR="00B16287" w:rsidRPr="002A01DA" w:rsidRDefault="00B16287" w:rsidP="00DB3197">
            <w:pPr>
              <w:rPr>
                <w:b/>
              </w:rPr>
            </w:pPr>
            <w:r w:rsidRPr="002A01DA">
              <w:rPr>
                <w:b/>
              </w:rPr>
              <w:t>Application Dates</w:t>
            </w:r>
          </w:p>
        </w:tc>
        <w:tc>
          <w:tcPr>
            <w:tcW w:w="4531" w:type="dxa"/>
          </w:tcPr>
          <w:p w:rsidR="00B16287" w:rsidRDefault="00B16287" w:rsidP="00DB3197">
            <w:r>
              <w:t>5th – 26th February 2018</w:t>
            </w:r>
          </w:p>
        </w:tc>
      </w:tr>
      <w:tr w:rsidR="00B16287" w:rsidTr="00DB3197">
        <w:tc>
          <w:tcPr>
            <w:tcW w:w="4531" w:type="dxa"/>
          </w:tcPr>
          <w:p w:rsidR="00B16287" w:rsidRPr="002A01DA" w:rsidRDefault="00B16287" w:rsidP="00DB3197">
            <w:pPr>
              <w:rPr>
                <w:b/>
              </w:rPr>
            </w:pPr>
            <w:r w:rsidRPr="002A01DA">
              <w:rPr>
                <w:b/>
              </w:rPr>
              <w:t>Announcement of Results</w:t>
            </w:r>
          </w:p>
        </w:tc>
        <w:tc>
          <w:tcPr>
            <w:tcW w:w="4531" w:type="dxa"/>
          </w:tcPr>
          <w:p w:rsidR="00B16287" w:rsidRDefault="00B16287" w:rsidP="00DB3197">
            <w:r>
              <w:t>May 2018</w:t>
            </w:r>
          </w:p>
        </w:tc>
      </w:tr>
    </w:tbl>
    <w:p w:rsidR="002A01DA" w:rsidRDefault="002A01DA" w:rsidP="00B468BA"/>
    <w:p w:rsidR="007A69EF" w:rsidRDefault="007A69EF" w:rsidP="00B468BA"/>
    <w:p w:rsidR="00B16287" w:rsidRPr="007A69EF" w:rsidRDefault="00B16287" w:rsidP="00B468BA">
      <w:pPr>
        <w:rPr>
          <w:b/>
        </w:rPr>
      </w:pPr>
      <w:r w:rsidRPr="007A69EF">
        <w:rPr>
          <w:b/>
        </w:rPr>
        <w:t>Academic Staff A</w:t>
      </w:r>
      <w:r w:rsidR="007A69EF">
        <w:rPr>
          <w:b/>
        </w:rPr>
        <w:t>pplication Documents:</w:t>
      </w:r>
    </w:p>
    <w:p w:rsidR="00732FB5" w:rsidRDefault="00732FB5" w:rsidP="00732FB5">
      <w:r w:rsidRPr="00732FB5">
        <w:rPr>
          <w:b/>
        </w:rPr>
        <w:t>1.</w:t>
      </w:r>
      <w:r w:rsidR="00B16287">
        <w:t xml:space="preserve">Applications should be done by the link of Office of International Affairs of Atatürk University </w:t>
      </w:r>
    </w:p>
    <w:p w:rsidR="00B16287" w:rsidRDefault="00732FB5" w:rsidP="00732FB5">
      <w:r w:rsidRPr="00732FB5">
        <w:rPr>
          <w:color w:val="0070C0"/>
          <w:u w:val="single"/>
        </w:rPr>
        <w:t>oia.atauni.edu.tr/application/staff</w:t>
      </w:r>
    </w:p>
    <w:p w:rsidR="00B16287" w:rsidRDefault="00B16287" w:rsidP="00B468BA">
      <w:r w:rsidRPr="007A69EF">
        <w:rPr>
          <w:b/>
        </w:rPr>
        <w:t>2.</w:t>
      </w:r>
      <w:r>
        <w:t xml:space="preserve"> CV </w:t>
      </w:r>
    </w:p>
    <w:p w:rsidR="007A69EF" w:rsidRDefault="007A69EF" w:rsidP="00B468BA"/>
    <w:p w:rsidR="00B16287" w:rsidRPr="007A69EF" w:rsidRDefault="00B16287" w:rsidP="00B468BA">
      <w:pPr>
        <w:rPr>
          <w:b/>
        </w:rPr>
      </w:pPr>
      <w:r w:rsidRPr="007A69EF">
        <w:rPr>
          <w:b/>
        </w:rPr>
        <w:t>Academic Staff Application Requirements</w:t>
      </w:r>
      <w:r w:rsidR="007A69EF">
        <w:rPr>
          <w:b/>
        </w:rPr>
        <w:t>:</w:t>
      </w:r>
    </w:p>
    <w:p w:rsidR="00B16287" w:rsidRDefault="00B16287" w:rsidP="00B468BA">
      <w:r>
        <w:t xml:space="preserve">All academic staff members are eligible to take part in academic staff mobility </w:t>
      </w:r>
      <w:r w:rsidR="0055769E">
        <w:t xml:space="preserve">program </w:t>
      </w:r>
      <w:r>
        <w:t xml:space="preserve">if their Higher Education Institutions have signed the Mevlana Exchange Programme Protocol with Atatürk University. </w:t>
      </w:r>
    </w:p>
    <w:p w:rsidR="007A69EF" w:rsidRDefault="00B16287" w:rsidP="007A69EF">
      <w:r>
        <w:t>Academic staff mobility periods can be minimum t</w:t>
      </w:r>
      <w:r w:rsidR="0055769E">
        <w:t xml:space="preserve">wo weeks, maximum three months </w:t>
      </w:r>
      <w:r>
        <w:t>and</w:t>
      </w:r>
      <w:r w:rsidR="007A69EF">
        <w:t xml:space="preserve"> mobility</w:t>
      </w:r>
      <w:r>
        <w:t xml:space="preserve"> can only be authorised once in</w:t>
      </w:r>
      <w:r w:rsidR="007A69EF">
        <w:t xml:space="preserve"> the same academic year. This mobility covers education-training activities such as seminars, panels or conferences and the weekly total hours of the courses must not be less than 6 hours.</w:t>
      </w:r>
    </w:p>
    <w:p w:rsidR="002A01DA" w:rsidRDefault="00B16287" w:rsidP="00B468BA">
      <w:r>
        <w:t>Academic Staff mobility programmes</w:t>
      </w:r>
      <w:r w:rsidR="007A69EF">
        <w:t xml:space="preserve"> should be arranged to begin after September 15th 2018</w:t>
      </w:r>
      <w:r>
        <w:t>, and finish before August 31st</w:t>
      </w:r>
      <w:r w:rsidR="007A69EF">
        <w:t xml:space="preserve"> 2019.</w:t>
      </w:r>
    </w:p>
    <w:p w:rsidR="007A69EF" w:rsidRDefault="007A69EF" w:rsidP="00B468BA"/>
    <w:p w:rsidR="0055769E" w:rsidRDefault="0055769E" w:rsidP="007A69EF">
      <w:pPr>
        <w:rPr>
          <w:b/>
        </w:rPr>
      </w:pPr>
    </w:p>
    <w:p w:rsidR="0078542E" w:rsidRDefault="0078542E" w:rsidP="007A69EF">
      <w:pPr>
        <w:rPr>
          <w:b/>
        </w:rPr>
      </w:pPr>
    </w:p>
    <w:p w:rsidR="001334F8" w:rsidRDefault="001334F8" w:rsidP="007A69EF">
      <w:pPr>
        <w:rPr>
          <w:b/>
        </w:rPr>
      </w:pPr>
    </w:p>
    <w:p w:rsidR="001334F8" w:rsidRDefault="001334F8" w:rsidP="007A69EF">
      <w:pPr>
        <w:rPr>
          <w:b/>
        </w:rPr>
      </w:pPr>
    </w:p>
    <w:p w:rsidR="001334F8" w:rsidRDefault="001334F8" w:rsidP="007A69EF">
      <w:pPr>
        <w:rPr>
          <w:b/>
        </w:rPr>
      </w:pPr>
    </w:p>
    <w:p w:rsidR="001334F8" w:rsidRDefault="001334F8" w:rsidP="007A69EF">
      <w:pPr>
        <w:rPr>
          <w:b/>
        </w:rPr>
      </w:pPr>
    </w:p>
    <w:p w:rsidR="001334F8" w:rsidRDefault="001334F8" w:rsidP="007A69EF">
      <w:pPr>
        <w:rPr>
          <w:b/>
        </w:rPr>
      </w:pPr>
    </w:p>
    <w:p w:rsidR="001334F8" w:rsidRDefault="001334F8" w:rsidP="007A69EF">
      <w:pPr>
        <w:rPr>
          <w:b/>
        </w:rPr>
      </w:pPr>
    </w:p>
    <w:p w:rsidR="001334F8" w:rsidRDefault="001334F8" w:rsidP="007A69EF">
      <w:pPr>
        <w:rPr>
          <w:b/>
        </w:rPr>
      </w:pPr>
    </w:p>
    <w:p w:rsidR="001334F8" w:rsidRDefault="001334F8" w:rsidP="007A69EF">
      <w:pPr>
        <w:rPr>
          <w:b/>
        </w:rPr>
      </w:pPr>
    </w:p>
    <w:p w:rsidR="001334F8" w:rsidRDefault="001334F8" w:rsidP="007A69EF">
      <w:pPr>
        <w:rPr>
          <w:b/>
        </w:rPr>
      </w:pPr>
    </w:p>
    <w:p w:rsidR="007A69EF" w:rsidRDefault="007A69EF" w:rsidP="007A69EF">
      <w:r w:rsidRPr="007A69EF">
        <w:rPr>
          <w:b/>
        </w:rPr>
        <w:lastRenderedPageBreak/>
        <w:t>Mevlana Exchange Programme Incoming Academic Staff Scholarships:</w:t>
      </w:r>
      <w:r>
        <w:t xml:space="preserve"> </w:t>
      </w:r>
    </w:p>
    <w:p w:rsidR="007A69EF" w:rsidRDefault="007A69EF" w:rsidP="007A69EF"/>
    <w:p w:rsidR="007A69EF" w:rsidRDefault="00E251F7" w:rsidP="007A69EF">
      <w:r>
        <w:t>Scholarships granted a</w:t>
      </w:r>
      <w:r w:rsidR="006A2541">
        <w:t>ccording to academic title as in the below.</w:t>
      </w:r>
    </w:p>
    <w:p w:rsidR="006A2541" w:rsidRDefault="006A2541" w:rsidP="007A69EF"/>
    <w:tbl>
      <w:tblPr>
        <w:tblStyle w:val="a3"/>
        <w:tblW w:w="0" w:type="auto"/>
        <w:tblLook w:val="04A0" w:firstRow="1" w:lastRow="0" w:firstColumn="1" w:lastColumn="0" w:noHBand="0" w:noVBand="1"/>
      </w:tblPr>
      <w:tblGrid>
        <w:gridCol w:w="2265"/>
        <w:gridCol w:w="2265"/>
        <w:gridCol w:w="2266"/>
        <w:gridCol w:w="2266"/>
      </w:tblGrid>
      <w:tr w:rsidR="007A69EF" w:rsidTr="007A69EF">
        <w:tc>
          <w:tcPr>
            <w:tcW w:w="2265" w:type="dxa"/>
          </w:tcPr>
          <w:p w:rsidR="007A69EF" w:rsidRPr="0055769E" w:rsidRDefault="007A69EF" w:rsidP="007A69EF">
            <w:pPr>
              <w:rPr>
                <w:b/>
              </w:rPr>
            </w:pPr>
            <w:r w:rsidRPr="0055769E">
              <w:rPr>
                <w:b/>
              </w:rPr>
              <w:t>Region/Continent</w:t>
            </w:r>
          </w:p>
        </w:tc>
        <w:tc>
          <w:tcPr>
            <w:tcW w:w="2265" w:type="dxa"/>
          </w:tcPr>
          <w:p w:rsidR="007A69EF" w:rsidRPr="0055769E" w:rsidRDefault="007A69EF" w:rsidP="007A69EF">
            <w:pPr>
              <w:rPr>
                <w:b/>
              </w:rPr>
            </w:pPr>
            <w:r w:rsidRPr="0055769E">
              <w:rPr>
                <w:b/>
              </w:rPr>
              <w:t>Daily Wage (TL) (Prof, Assoc. Prof, Assist. Prof.)</w:t>
            </w:r>
          </w:p>
        </w:tc>
        <w:tc>
          <w:tcPr>
            <w:tcW w:w="2266" w:type="dxa"/>
          </w:tcPr>
          <w:p w:rsidR="007A69EF" w:rsidRPr="0055769E" w:rsidRDefault="007A69EF" w:rsidP="007A69EF">
            <w:pPr>
              <w:rPr>
                <w:b/>
              </w:rPr>
            </w:pPr>
            <w:r w:rsidRPr="0055769E">
              <w:rPr>
                <w:b/>
              </w:rPr>
              <w:t>Daily Wage (TL) (Others)</w:t>
            </w:r>
          </w:p>
        </w:tc>
        <w:tc>
          <w:tcPr>
            <w:tcW w:w="2266" w:type="dxa"/>
          </w:tcPr>
          <w:p w:rsidR="007A69EF" w:rsidRPr="0055769E" w:rsidRDefault="007A69EF" w:rsidP="007A69EF">
            <w:pPr>
              <w:rPr>
                <w:b/>
              </w:rPr>
            </w:pPr>
            <w:r w:rsidRPr="0055769E">
              <w:rPr>
                <w:b/>
              </w:rPr>
              <w:t>Travel Expenses</w:t>
            </w:r>
          </w:p>
        </w:tc>
      </w:tr>
      <w:tr w:rsidR="007A69EF" w:rsidTr="007A69EF">
        <w:tc>
          <w:tcPr>
            <w:tcW w:w="2265" w:type="dxa"/>
          </w:tcPr>
          <w:p w:rsidR="007A69EF" w:rsidRDefault="006A2541" w:rsidP="007A69EF">
            <w:r>
              <w:t>Asia-Pacific Region, Latin America, North America</w:t>
            </w:r>
          </w:p>
        </w:tc>
        <w:tc>
          <w:tcPr>
            <w:tcW w:w="2265" w:type="dxa"/>
          </w:tcPr>
          <w:p w:rsidR="007A69EF" w:rsidRDefault="006A2541" w:rsidP="007A69EF">
            <w:r>
              <w:t>50,00 TL</w:t>
            </w:r>
          </w:p>
        </w:tc>
        <w:tc>
          <w:tcPr>
            <w:tcW w:w="2266" w:type="dxa"/>
          </w:tcPr>
          <w:p w:rsidR="007A69EF" w:rsidRDefault="006A2541" w:rsidP="007A69EF">
            <w:r>
              <w:t>40,00 TL</w:t>
            </w:r>
          </w:p>
        </w:tc>
        <w:tc>
          <w:tcPr>
            <w:tcW w:w="2266" w:type="dxa"/>
          </w:tcPr>
          <w:p w:rsidR="007A69EF" w:rsidRDefault="006A2541" w:rsidP="007A69EF">
            <w:r>
              <w:t>4.400 TL</w:t>
            </w:r>
          </w:p>
        </w:tc>
      </w:tr>
      <w:tr w:rsidR="007A69EF" w:rsidTr="007A69EF">
        <w:tc>
          <w:tcPr>
            <w:tcW w:w="2265" w:type="dxa"/>
          </w:tcPr>
          <w:p w:rsidR="007A69EF" w:rsidRDefault="006A2541" w:rsidP="007A69EF">
            <w:r>
              <w:t>Sub-Saharan Africa, Central Asia</w:t>
            </w:r>
          </w:p>
        </w:tc>
        <w:tc>
          <w:tcPr>
            <w:tcW w:w="2265" w:type="dxa"/>
          </w:tcPr>
          <w:p w:rsidR="007A69EF" w:rsidRDefault="006A2541" w:rsidP="007A69EF">
            <w:r>
              <w:t>50,00 TL</w:t>
            </w:r>
          </w:p>
        </w:tc>
        <w:tc>
          <w:tcPr>
            <w:tcW w:w="2266" w:type="dxa"/>
          </w:tcPr>
          <w:p w:rsidR="007A69EF" w:rsidRDefault="006A2541" w:rsidP="007A69EF">
            <w:r>
              <w:t>40,00 TL</w:t>
            </w:r>
          </w:p>
        </w:tc>
        <w:tc>
          <w:tcPr>
            <w:tcW w:w="2266" w:type="dxa"/>
          </w:tcPr>
          <w:p w:rsidR="007A69EF" w:rsidRDefault="006A2541" w:rsidP="007A69EF">
            <w:r>
              <w:t>3.300 TL</w:t>
            </w:r>
          </w:p>
        </w:tc>
      </w:tr>
      <w:tr w:rsidR="007A69EF" w:rsidTr="007A69EF">
        <w:tc>
          <w:tcPr>
            <w:tcW w:w="2265" w:type="dxa"/>
          </w:tcPr>
          <w:p w:rsidR="007A69EF" w:rsidRDefault="006A2541" w:rsidP="007A69EF">
            <w:r>
              <w:t>Europe, South Caucasus, South Asia, Middle East, North Africa</w:t>
            </w:r>
          </w:p>
        </w:tc>
        <w:tc>
          <w:tcPr>
            <w:tcW w:w="2265" w:type="dxa"/>
          </w:tcPr>
          <w:p w:rsidR="007A69EF" w:rsidRDefault="006A2541" w:rsidP="007A69EF">
            <w:r>
              <w:t>50,00 TL</w:t>
            </w:r>
          </w:p>
        </w:tc>
        <w:tc>
          <w:tcPr>
            <w:tcW w:w="2266" w:type="dxa"/>
          </w:tcPr>
          <w:p w:rsidR="007A69EF" w:rsidRDefault="006A2541" w:rsidP="007A69EF">
            <w:r>
              <w:t>40,00 TL</w:t>
            </w:r>
          </w:p>
        </w:tc>
        <w:tc>
          <w:tcPr>
            <w:tcW w:w="2266" w:type="dxa"/>
          </w:tcPr>
          <w:p w:rsidR="007A69EF" w:rsidRDefault="006A2541" w:rsidP="007A69EF">
            <w:r>
              <w:t>2.500 TL</w:t>
            </w:r>
          </w:p>
        </w:tc>
      </w:tr>
    </w:tbl>
    <w:p w:rsidR="007A69EF" w:rsidRDefault="007A69EF" w:rsidP="007A69EF">
      <w:pPr>
        <w:rPr>
          <w:b/>
        </w:rPr>
      </w:pPr>
    </w:p>
    <w:p w:rsidR="00D02F37" w:rsidRDefault="00D02F37" w:rsidP="007A69EF">
      <w:pPr>
        <w:rPr>
          <w:b/>
        </w:rPr>
      </w:pPr>
    </w:p>
    <w:p w:rsidR="00D02F37" w:rsidRDefault="00D02F37" w:rsidP="00D02F37">
      <w:pPr>
        <w:rPr>
          <w:b/>
        </w:rPr>
      </w:pPr>
      <w:r w:rsidRPr="002A01DA">
        <w:rPr>
          <w:b/>
        </w:rPr>
        <w:t xml:space="preserve">Accommodation for Incoming </w:t>
      </w:r>
      <w:r w:rsidR="0055769E">
        <w:rPr>
          <w:b/>
        </w:rPr>
        <w:t>Academic Staff</w:t>
      </w:r>
      <w:r>
        <w:rPr>
          <w:b/>
        </w:rPr>
        <w:t>:</w:t>
      </w:r>
    </w:p>
    <w:p w:rsidR="00D02F37" w:rsidRDefault="00D02F37" w:rsidP="007A69EF">
      <w:pPr>
        <w:rPr>
          <w:b/>
        </w:rPr>
      </w:pPr>
      <w:r>
        <w:t xml:space="preserve">Atatürk University provides accommodation at the Guest House1/2/3 </w:t>
      </w:r>
      <w:r w:rsidR="0055769E">
        <w:t>for visiting academic staff</w:t>
      </w:r>
      <w:r>
        <w:t xml:space="preserve"> in the university the campus.</w:t>
      </w:r>
    </w:p>
    <w:p w:rsidR="00D02F37" w:rsidRDefault="00D02F37" w:rsidP="007A69EF">
      <w:pPr>
        <w:rPr>
          <w:b/>
        </w:rPr>
      </w:pPr>
    </w:p>
    <w:p w:rsidR="00D02F37" w:rsidRDefault="00D02F37" w:rsidP="007A69EF">
      <w:pPr>
        <w:rPr>
          <w:b/>
        </w:rPr>
      </w:pPr>
    </w:p>
    <w:p w:rsidR="007A69EF" w:rsidRDefault="007A69EF" w:rsidP="007A69EF">
      <w:r w:rsidRPr="007A69EF">
        <w:rPr>
          <w:b/>
        </w:rPr>
        <w:t>Note:</w:t>
      </w:r>
      <w:r>
        <w:t xml:space="preserve"> For futher information please get in touch with Mevlana Office of Atatürk University </w:t>
      </w:r>
    </w:p>
    <w:p w:rsidR="007A69EF" w:rsidRDefault="001334F8" w:rsidP="007A69EF">
      <w:hyperlink r:id="rId7" w:history="1">
        <w:r w:rsidR="007A69EF" w:rsidRPr="00FA7946">
          <w:rPr>
            <w:rStyle w:val="a4"/>
          </w:rPr>
          <w:t>mevlana@atauni.edu.tr</w:t>
        </w:r>
      </w:hyperlink>
      <w:r w:rsidR="007A69EF">
        <w:rPr>
          <w:color w:val="0070C0"/>
        </w:rPr>
        <w:t xml:space="preserve"> </w:t>
      </w:r>
      <w:r w:rsidR="007A69EF" w:rsidRPr="002A01DA">
        <w:t>.</w:t>
      </w:r>
    </w:p>
    <w:p w:rsidR="007A69EF" w:rsidRPr="002A01DA" w:rsidRDefault="007A69EF" w:rsidP="00B468BA">
      <w:bookmarkStart w:id="0" w:name="_GoBack"/>
      <w:bookmarkEnd w:id="0"/>
    </w:p>
    <w:sectPr w:rsidR="007A69EF" w:rsidRPr="002A01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A98271C"/>
    <w:multiLevelType w:val="hybridMultilevel"/>
    <w:tmpl w:val="C5FCE86A"/>
    <w:lvl w:ilvl="0" w:tplc="1DFA54D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DD5"/>
    <w:rsid w:val="000E21CB"/>
    <w:rsid w:val="001334F8"/>
    <w:rsid w:val="002A01DA"/>
    <w:rsid w:val="00392A2F"/>
    <w:rsid w:val="0055769E"/>
    <w:rsid w:val="005862C8"/>
    <w:rsid w:val="006A2541"/>
    <w:rsid w:val="006C16B0"/>
    <w:rsid w:val="00722DD5"/>
    <w:rsid w:val="00732FB5"/>
    <w:rsid w:val="0078542E"/>
    <w:rsid w:val="007A69EF"/>
    <w:rsid w:val="00906F0C"/>
    <w:rsid w:val="00A2123E"/>
    <w:rsid w:val="00B16287"/>
    <w:rsid w:val="00B468BA"/>
    <w:rsid w:val="00B618CA"/>
    <w:rsid w:val="00C94187"/>
    <w:rsid w:val="00D02F37"/>
    <w:rsid w:val="00E251F7"/>
    <w:rsid w:val="00F97D0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187EEB-E12F-49C2-A495-6D71F99F5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68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2A01DA"/>
    <w:rPr>
      <w:color w:val="0563C1" w:themeColor="hyperlink"/>
      <w:u w:val="single"/>
    </w:rPr>
  </w:style>
  <w:style w:type="paragraph" w:styleId="a5">
    <w:name w:val="List Paragraph"/>
    <w:basedOn w:val="a"/>
    <w:uiPriority w:val="34"/>
    <w:qFormat/>
    <w:rsid w:val="00732F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evlana@atauni.edu.t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evlana@atauni.edu.t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91773-E091-47DD-9326-BC405262A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3</Pages>
  <Words>552</Words>
  <Characters>3149</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Yaz-Kış Okulu</dc:creator>
  <cp:keywords/>
  <dc:description/>
  <cp:lastModifiedBy>USER</cp:lastModifiedBy>
  <cp:revision>17</cp:revision>
  <dcterms:created xsi:type="dcterms:W3CDTF">2018-02-06T07:08:00Z</dcterms:created>
  <dcterms:modified xsi:type="dcterms:W3CDTF">2018-02-19T08:35:00Z</dcterms:modified>
</cp:coreProperties>
</file>